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3E0" w14:textId="096BB673" w:rsidR="00F935A0" w:rsidRDefault="00F935A0" w:rsidP="00F935A0">
      <w:pPr>
        <w:jc w:val="center"/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</w:pPr>
      <w:bookmarkStart w:id="0" w:name="OLE_LINK1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 xml:space="preserve">Disgrifiad </w:t>
      </w:r>
      <w:proofErr w:type="spellStart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>Swydd</w:t>
      </w:r>
      <w:proofErr w:type="spellEnd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 xml:space="preserve">: </w:t>
      </w:r>
      <w:proofErr w:type="spellStart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>Rheolwr</w:t>
      </w:r>
      <w:proofErr w:type="spellEnd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 xml:space="preserve"> </w:t>
      </w:r>
      <w:proofErr w:type="spellStart"/>
      <w:r w:rsidRPr="00F935A0">
        <w:rPr>
          <w:rFonts w:ascii="Aptos" w:eastAsiaTheme="majorEastAsia" w:hAnsi="Aptos" w:cs="Arial"/>
          <w:b/>
          <w:color w:val="000000" w:themeColor="text1"/>
          <w:kern w:val="2"/>
          <w:sz w:val="24"/>
          <w:szCs w:val="24"/>
          <w:u w:val="single"/>
          <w:lang w:val="en-GB" w:eastAsia="en-US"/>
          <w14:ligatures w14:val="standardContextual"/>
        </w:rPr>
        <w:t>Achosion</w:t>
      </w:r>
      <w:proofErr w:type="spellEnd"/>
    </w:p>
    <w:p w14:paraId="18E7E4BD" w14:textId="77777777" w:rsidR="00F935A0" w:rsidRPr="00AA0FC8" w:rsidRDefault="00F935A0" w:rsidP="00F935A0">
      <w:pPr>
        <w:jc w:val="center"/>
        <w:rPr>
          <w:rFonts w:ascii="Aptos" w:hAnsi="Aptos"/>
          <w:color w:val="000000" w:themeColor="text1"/>
          <w:sz w:val="18"/>
          <w:szCs w:val="18"/>
          <w:u w:val="single"/>
          <w:lang w:val="en-GB"/>
        </w:rPr>
      </w:pPr>
    </w:p>
    <w:p w14:paraId="59DC435E" w14:textId="77777777" w:rsidR="00F935A0" w:rsidRDefault="00F935A0" w:rsidP="00F935A0">
      <w:pPr>
        <w:jc w:val="both"/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Swydd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</w:t>
      </w:r>
    </w:p>
    <w:p w14:paraId="74A6AAA8" w14:textId="77777777" w:rsidR="00F935A0" w:rsidRDefault="00F935A0" w:rsidP="00F935A0">
      <w:pPr>
        <w:jc w:val="both"/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Yn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adrodd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:</w:t>
      </w: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</w:t>
      </w:r>
    </w:p>
    <w:p w14:paraId="026E5DA1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Oriau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: </w:t>
      </w: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37.5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wythnos</w:t>
      </w:r>
      <w:proofErr w:type="spellEnd"/>
    </w:p>
    <w:p w14:paraId="70AA82AC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Lleoliad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: </w:t>
      </w: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Llanelli, Ceredigion neu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Bowys</w:t>
      </w:r>
      <w:proofErr w:type="spellEnd"/>
    </w:p>
    <w:p w14:paraId="7018648F" w14:textId="39C4CCB2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Teithio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gofyn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chi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deithio’n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helaeth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draws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ardal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Heddlu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Dyfed Powys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Sir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Gâr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Sir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Benfro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Ceredigion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Phowys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0488DF2E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1"/>
          <w:szCs w:val="21"/>
          <w:lang w:val="en-GB"/>
        </w:rPr>
      </w:pPr>
    </w:p>
    <w:p w14:paraId="72D6B569" w14:textId="1B220E3C" w:rsidR="00F935A0" w:rsidRDefault="00F935A0" w:rsidP="00F935A0">
      <w:pPr>
        <w:rPr>
          <w:rFonts w:ascii="Aptos" w:hAnsi="Aptos"/>
          <w:b/>
          <w:bCs/>
          <w:color w:val="000000" w:themeColor="text1"/>
          <w:sz w:val="21"/>
          <w:szCs w:val="21"/>
          <w:lang w:val="en-GB"/>
        </w:rPr>
      </w:pPr>
      <w:proofErr w:type="spellStart"/>
      <w:r w:rsidRPr="00F935A0">
        <w:rPr>
          <w:rFonts w:ascii="Aptos" w:hAnsi="Aptos"/>
          <w:b/>
          <w:bCs/>
          <w:color w:val="000000" w:themeColor="text1"/>
          <w:sz w:val="21"/>
          <w:szCs w:val="21"/>
          <w:lang w:val="en-GB"/>
        </w:rPr>
        <w:t>Cytundeb</w:t>
      </w:r>
      <w:proofErr w:type="spellEnd"/>
      <w:r w:rsidRPr="00AA0FC8">
        <w:rPr>
          <w:rFonts w:ascii="Aptos" w:hAnsi="Aptos"/>
          <w:b/>
          <w:bCs/>
          <w:color w:val="000000" w:themeColor="text1"/>
          <w:sz w:val="21"/>
          <w:szCs w:val="21"/>
          <w:lang w:val="en-GB"/>
        </w:rPr>
        <w:t>:</w:t>
      </w:r>
    </w:p>
    <w:p w14:paraId="31FA79E7" w14:textId="77777777" w:rsidR="00F935A0" w:rsidRPr="00AA0FC8" w:rsidRDefault="00F935A0" w:rsidP="00F935A0">
      <w:pPr>
        <w:rPr>
          <w:rFonts w:ascii="Aptos" w:hAnsi="Aptos"/>
          <w:b/>
          <w:bCs/>
          <w:color w:val="000000" w:themeColor="text1"/>
          <w:sz w:val="21"/>
          <w:szCs w:val="21"/>
          <w:lang w:val="en-GB"/>
        </w:rPr>
      </w:pPr>
    </w:p>
    <w:p w14:paraId="6FA5D6E0" w14:textId="01275768" w:rsidR="00F935A0" w:rsidRDefault="00F935A0" w:rsidP="00F935A0">
      <w:pPr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</w:pPr>
      <w:proofErr w:type="spellStart"/>
      <w:r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  <w:t>Pwrpas</w:t>
      </w:r>
      <w:proofErr w:type="spellEnd"/>
    </w:p>
    <w:p w14:paraId="1CE07D15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ymdrechu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weithio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sail un-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-un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throseddwyr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wedi’u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hadnabod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unigolion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uchel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er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hymrwymiad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rhagweithiol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dylanwadu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newid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ymddygiadol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agweddol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a’u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cysylltu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ategol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B2B48EC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Er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gwneud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cydweithio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chyrff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lleol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ddylunio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cynllun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ymyrraeth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unigol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cydgysylltiedig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strategol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risgiau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nodwyd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hybu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dealltwriaeth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effaith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camdriniol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6996BB5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Trwy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ymyrraeth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gweithio’n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agos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gyda’r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IDVA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lleol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adolygu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datblygu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cynlluniau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diogelwch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wella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canlyniadau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bawb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gysylltiedig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84910AA" w14:textId="76C60732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gyfrifol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am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canlyniadau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pendant,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weithio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arfer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am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hyd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at 12 mis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phob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Defnyddiwr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er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cyflawni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newid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6110DF1" w14:textId="77777777" w:rsidR="00F935A0" w:rsidRDefault="00F935A0" w:rsidP="00F935A0">
      <w:pPr>
        <w:rPr>
          <w:rFonts w:ascii="Aptos" w:hAnsi="Aptos"/>
          <w:b/>
          <w:bCs/>
          <w:color w:val="80340D" w:themeColor="accent2" w:themeShade="80"/>
          <w:sz w:val="21"/>
          <w:szCs w:val="21"/>
          <w:lang w:val="en-GB"/>
        </w:rPr>
      </w:pPr>
    </w:p>
    <w:p w14:paraId="3750BBA1" w14:textId="1700000F" w:rsidR="00F935A0" w:rsidRPr="00AA0FC8" w:rsidRDefault="00F935A0" w:rsidP="00F935A0">
      <w:pPr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</w:pPr>
      <w:proofErr w:type="spellStart"/>
      <w:r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  <w:t>Cyfrifoldebau</w:t>
      </w:r>
      <w:proofErr w:type="spellEnd"/>
    </w:p>
    <w:p w14:paraId="018976EF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Gwaith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uniongyrchol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gyda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Defnyddwyr</w:t>
      </w:r>
      <w:proofErr w:type="spellEnd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Gwasanaeth</w:t>
      </w:r>
      <w:proofErr w:type="spellEnd"/>
    </w:p>
    <w:p w14:paraId="0246EAFE" w14:textId="160A195C" w:rsidR="00F935A0" w:rsidRPr="00AA0FC8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Cynnal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ymateb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rhagweithiol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gynnig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opsiynau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cadarnhaol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gyfer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newid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barhaus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drwy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cyfnod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prosiect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Drive.</w:t>
      </w:r>
    </w:p>
    <w:p w14:paraId="5F4672A4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cyfuniad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waith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cymhellol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adeiladu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perthnasau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ystod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eang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therapiwtig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ymgysylltu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â’r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â’u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hymddygiad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camdriniol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33BAE37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Cymell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chefnogi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ystod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eang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gyfrannu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at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maent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osod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neu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weithredu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rhwystr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iddynt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â’r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honno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e.e.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tai,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camddefnyddio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sylweddau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ati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224B2FB3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Datblygu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strategaethau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tarfu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barhaus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</w:t>
      </w:r>
      <w:proofErr w:type="gram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achosir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16C3EB2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deall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bydd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gymuned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prosiect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dal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gyfrifol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am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unrhyw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camdriniol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parhaus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tuag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at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6CFE39A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darpariaeth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gyson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wasanaethau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troseddwyr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nodwyd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asesiad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cynhwysfawr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cynllunio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cefnogaeth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atgyfeiriadau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asiantaethau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Maracs.</w:t>
      </w:r>
    </w:p>
    <w:p w14:paraId="7654E73C" w14:textId="628715DB" w:rsidR="00F935A0" w:rsidRPr="00AA0FC8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lastRenderedPageBreak/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Cynnal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asesiad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agweddau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er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llywio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cynlluniau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ymyrraeth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unigol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pob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Defnyddiwr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0B7B4606" w14:textId="77777777" w:rsidR="00F935A0" w:rsidRP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Parchu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gwerthfawrogi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amrywiaeth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gymuned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mae’r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ynddi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ddarparu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cydnabod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amrywiol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a’u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teuluoedd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175F2AE" w14:textId="133A13A6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Ystyried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lles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diogelwch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plant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phobl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ifanc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ym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mhob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agwedd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eich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gwaith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rhianta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lle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bo’n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briodol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ddiogelu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plant.</w:t>
      </w:r>
    </w:p>
    <w:p w14:paraId="788F6798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62051629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Gwaith </w:t>
      </w:r>
      <w:proofErr w:type="spellStart"/>
      <w:r w:rsidRPr="00F935A0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Amlasiantaethol</w:t>
      </w:r>
      <w:proofErr w:type="spellEnd"/>
    </w:p>
    <w:p w14:paraId="67094A9A" w14:textId="2A78A1BE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Datblygu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chynnal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gwaith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partneriaeth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effeithiol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sefydliadau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statudol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preifat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gwirfoddol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â mater cam-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F935A0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22E2E011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wreiddio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rôl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ymateb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gam-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ardal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4BAB1D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agos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proffesiynol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dyletswyddau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cyflawni’n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effeithiol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9461BEA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Darparu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pwynt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cyswllt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unigol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rhagweithiol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arferol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ystod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proffesiynol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gysylltiedig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achos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Defnyddiwr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1A9B580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Cefnogi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proffesiynol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ymateb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ffordd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gyson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amcanion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ethos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Prosiect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Drive.</w:t>
      </w:r>
    </w:p>
    <w:p w14:paraId="76A4D300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agos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IDVAau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cefnogi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partneriaid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cyn-bartneriaid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phartneriaid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newydd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ogystal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aelodau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teulu’r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datblygu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cynlluniau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ymyrraeth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nodir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Llawlyfr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Drive.</w:t>
      </w:r>
    </w:p>
    <w:p w14:paraId="2C3FAF99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eiriolaeth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sefydliadol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effeithiol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drwy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herio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asiantaethau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partner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modd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cymdeithasol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gadarnhaol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gydnabod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arferion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da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ymdrechu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greu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newid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er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budd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unigolyn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sector.</w:t>
      </w:r>
    </w:p>
    <w:p w14:paraId="1E6D4E28" w14:textId="22403928" w:rsidR="00F935A0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Cynrychioli’r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cyfarfodydd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gweithredol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adrodd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ôl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fentrau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chanlyniadau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tîm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cyfrannu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at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werthuso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ansawdd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gweithgareddau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gynigir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5EE8668" w14:textId="77777777" w:rsid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28B0DF2E" w14:textId="77777777" w:rsidR="001C71FD" w:rsidRDefault="001C71FD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Achosion</w:t>
      </w:r>
      <w:proofErr w:type="spellEnd"/>
    </w:p>
    <w:p w14:paraId="1EF2D634" w14:textId="77777777" w:rsidR="001C71FD" w:rsidRPr="001C71FD" w:rsidRDefault="00F935A0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llwyth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canolbwyntio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droseddwyr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uchel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gam-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ddarparu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pendant,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tymor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canolig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hir,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wedi’i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seilio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asesiad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trylwyr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chynllunio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cefnogaeth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unigol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mabwysiadu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egwyddorion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cysyniad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‘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Cefnogi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a/neu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Darfu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’.</w:t>
      </w:r>
    </w:p>
    <w:p w14:paraId="65104BE0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Cydymffurfio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pholisïau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chydweithwyr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deall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fframweithiau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perthnasol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D3BB90D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Cyfrannu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at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adolygiadau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rheolaidd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monitro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data,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gwerthusiadau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polisïau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derbyn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allbwn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adolygiadau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llwyth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gwaith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736F80C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Mynychu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cyfarfodydd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misol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Rheolwr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D972FC4" w14:textId="52D6B368" w:rsidR="00F935A0" w:rsidRPr="00AA0FC8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Mynychu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goruchwyliaeth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glinigol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C10660A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7C2786CA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6DA932BC" w14:textId="77777777" w:rsidR="001C71FD" w:rsidRDefault="001C71FD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lastRenderedPageBreak/>
        <w:t>Cofnodi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Weinyddiaeth</w:t>
      </w:r>
      <w:proofErr w:type="spellEnd"/>
    </w:p>
    <w:p w14:paraId="66CF81BA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ffeiliau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chofnodion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gywir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gyflawn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cadw’n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deddfwriaeth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phrotocolau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data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57D339F" w14:textId="41B0A578" w:rsidR="00F935A0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Rhoi’r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holl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ofynnol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system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electronig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achosion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prosiect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Drive, er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olrhain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newidiadau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cydweithio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F325B31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6AFA1BBA" w14:textId="77777777" w:rsidR="001C71FD" w:rsidRDefault="001C71FD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Cyffredinol</w:t>
      </w:r>
      <w:proofErr w:type="spellEnd"/>
    </w:p>
    <w:p w14:paraId="3930DF46" w14:textId="5A5C94C3" w:rsidR="001C71FD" w:rsidRPr="001C71FD" w:rsidRDefault="00F935A0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AA0FC8">
        <w:rPr>
          <w:rFonts w:ascii="Aptos" w:hAnsi="Aptos"/>
          <w:color w:val="000000" w:themeColor="text1"/>
          <w:sz w:val="20"/>
          <w:szCs w:val="20"/>
          <w:lang w:val="en-GB"/>
        </w:rPr>
        <w:t>•</w:t>
      </w:r>
      <w:r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Parhau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fod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gyfredol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cydymffurfio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â’r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holl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ddeddfwriaeth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berthnasol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gysylltiedig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â’ch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gwaith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gweithdrefnau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sefydliadol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polisïau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chodau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proffesiynol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chanllawiau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ymarfer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er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cynnal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safonau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gorau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posibl</w:t>
      </w:r>
      <w:proofErr w:type="spellEnd"/>
      <w:r w:rsidR="001C71FD"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22F24464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Cynrychioli’r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digwyddiadau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lleol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;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darparu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hyfforddiant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chyflwyniadau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ôl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angen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3368080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Cyfrannu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at y broses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ddysgu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drwy’r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er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gwella’r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ddarpariaeth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droseddwyr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cam-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sicrhau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profiadau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asiantaethau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llywio’r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broses hon.</w:t>
      </w:r>
    </w:p>
    <w:p w14:paraId="1CEC95FA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hyderus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ddangos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ymarfer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myfyriol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mhob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agwedd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gwaith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3B426BBE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Ymrwymo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adolygu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unigol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tîm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chymryd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hyfforddiant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rheolaidd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E2C1C48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chywirdeb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pharch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ryngweithio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asiantaethau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unigolion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D45E233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gymwys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wneud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penderfyniadau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amddiffynnol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cofnodi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atebol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am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eich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camau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D03BBE1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Dangos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mentergarwch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fynd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afael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unrhyw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faterion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perthynas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asiantaethau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134BA299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Gweithredu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hyrwyddwr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rhaglen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eich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ardal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7A984CC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Meddu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drwydded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yrru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lawn,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mynediad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at gar,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draws yr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ardal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pan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angen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5540814" w14:textId="1D586F50" w:rsidR="00F935A0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benwythnosau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pan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angen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13C6C275" w14:textId="77777777" w:rsidR="00F935A0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748B8C1A" w14:textId="42479140" w:rsidR="00F935A0" w:rsidRDefault="001C71FD" w:rsidP="00F935A0">
      <w:pPr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</w:pPr>
      <w:proofErr w:type="spellStart"/>
      <w:r w:rsidRPr="001C71FD"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  <w:t>Manyleb</w:t>
      </w:r>
      <w:proofErr w:type="spellEnd"/>
      <w:r w:rsidRPr="001C71FD">
        <w:rPr>
          <w:rFonts w:ascii="Aptos" w:hAnsi="Aptos"/>
          <w:b/>
          <w:bCs/>
          <w:color w:val="80340D" w:themeColor="accent2" w:themeShade="80"/>
          <w:sz w:val="22"/>
          <w:szCs w:val="22"/>
          <w:lang w:val="en-GB"/>
        </w:rPr>
        <w:t xml:space="preserve"> y Person</w:t>
      </w:r>
    </w:p>
    <w:p w14:paraId="54D999EF" w14:textId="77777777" w:rsidR="001C71FD" w:rsidRPr="00AA0FC8" w:rsidRDefault="001C71FD" w:rsidP="00F935A0">
      <w:pPr>
        <w:rPr>
          <w:rFonts w:ascii="Aptos" w:hAnsi="Aptos"/>
          <w:b/>
          <w:bCs/>
          <w:color w:val="80340D" w:themeColor="accent2" w:themeShade="80"/>
          <w:sz w:val="21"/>
          <w:szCs w:val="21"/>
          <w:lang w:val="en-GB"/>
        </w:rPr>
      </w:pPr>
    </w:p>
    <w:p w14:paraId="2499FA4B" w14:textId="77777777" w:rsidR="001C71FD" w:rsidRP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Profiad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Hanfodol</w:t>
      </w:r>
      <w:proofErr w:type="spellEnd"/>
    </w:p>
    <w:p w14:paraId="4223D574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Gwaith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uniongyrchol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bregus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3C0A48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lleoliad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amddiffyn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/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cydweithredol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e.e.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plant,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oedolion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bregus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Marac,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Mappa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0756DC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materion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gweithdrefnau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401E3FA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Ysgrifennu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chyflwyno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ffurfiol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anffurfiol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amrywiaeth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gynulleidfaoedd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0793E8D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fframweithiau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deddfwriaethol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defnyddio’r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honno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ddatblygu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dylanwadu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annog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cydweithio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rhwng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partneriaid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058D6C6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sefyllfaoedd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gwrthdaro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0DDA41B3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lastRenderedPageBreak/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Tystiolaeth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adroddiadau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dibynadwy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amserol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chwrdd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therfynau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amser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61070AD" w14:textId="77777777" w:rsid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4ABD4654" w14:textId="77777777" w:rsidR="001C71FD" w:rsidRP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Profiad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Dymunol</w:t>
      </w:r>
      <w:proofErr w:type="spellEnd"/>
    </w:p>
    <w:p w14:paraId="5A3FCE9E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dioddefwyr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a/neu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droseddwyr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cam-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CE675E3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anghenion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cymhleth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a/neu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heriol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10457449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anawsterau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iechyd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meddwl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wedi’u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diagnosio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38AE0CC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camddefnyddio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sylweddau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11DEC881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phobl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ifanc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16–25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oed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024ED786" w14:textId="2ABEC0E6" w:rsidR="00F935A0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modelu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pro-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gymdeithasol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chyfweld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cymhellol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ymarferol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107E73C5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0A40EFA7" w14:textId="77777777" w:rsidR="001C71FD" w:rsidRP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Dealltwriaeth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:</w:t>
      </w:r>
    </w:p>
    <w:p w14:paraId="783689FE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Dealltwriaeth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ragorol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gam-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effaith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ddioddefwyr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plant,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atebion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cyfreithiol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ymarferol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F58DB8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am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ffyrdd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effeithiol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ymgysylltu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throseddwyr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cam-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EEB5084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Dealltwriaeth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drylwyr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waith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IDVA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asesiad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risg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chynllunio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diogelwch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cynhwysfawr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47CBCCE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Gwybodaeth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ddamcaniaethol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gweithdrefnol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wasanaethau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eraill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phartneriaethau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sy’n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ymateb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gam-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domestig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Marac.</w:t>
      </w:r>
    </w:p>
    <w:p w14:paraId="692279DB" w14:textId="50641768" w:rsidR="00F935A0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Dealltwriaeth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drefniadau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cyhoedd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heddlu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diogelu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plant, iechyd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gofal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cymdeithasol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cymorth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tai,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partneriaeth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FF65853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p w14:paraId="3B54E516" w14:textId="77777777" w:rsidR="001C71FD" w:rsidRP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:</w:t>
      </w:r>
    </w:p>
    <w:p w14:paraId="42E559E8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TG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Microsoft Office.</w:t>
      </w:r>
    </w:p>
    <w:p w14:paraId="73B6E136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cyfathrebu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rhagorol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(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ysgrifenedig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lafar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).</w:t>
      </w:r>
    </w:p>
    <w:p w14:paraId="49EABCD8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Meddu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radd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berthnasol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cymhwyster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galwedigaethol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neu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brofiad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cyfatebol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D5B776B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perthnasoedd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cyd-destun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amlasiantaethol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sensitifrwydd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ymatebolrwydd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mewn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partneriaeth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effeithiol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901329D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cynghori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negodi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argyhoeddi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rhagorol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gefnogi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arwain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Defnyddwyr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Gwasanaeth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4DFF9CB5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arwain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hwyluso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trafodaethau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er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mwyn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cyflawni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canlyniadau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cadarnhaol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22BA644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rhyngbersonol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rhagorol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ddangos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empathi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73DF6DA4" w14:textId="3F9668BA" w:rsidR="00F935A0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rheoli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argyfwng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rhagorol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ymdopi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ag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amgylchiadau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straen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chymhleth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gynnwys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gwrthdaro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her a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thrawma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D7E2E81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4CCAE35A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1E80E165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5153902B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0DCEAF78" w14:textId="77777777" w:rsidR="00F935A0" w:rsidRDefault="00F935A0" w:rsidP="00F935A0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</w:p>
    <w:p w14:paraId="7EC9E51A" w14:textId="77777777" w:rsidR="001C71FD" w:rsidRPr="001C71FD" w:rsidRDefault="001C71FD" w:rsidP="001C71FD">
      <w:pPr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Priodoleddau</w:t>
      </w:r>
      <w:proofErr w:type="spellEnd"/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>:</w:t>
      </w:r>
    </w:p>
    <w:p w14:paraId="22670471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b/>
          <w:bCs/>
          <w:color w:val="000000" w:themeColor="text1"/>
          <w:sz w:val="20"/>
          <w:szCs w:val="20"/>
          <w:lang w:val="en-GB"/>
        </w:rPr>
        <w:t xml:space="preserve">• </w:t>
      </w: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gallu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weithio’n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gydweithredol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dîm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tra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hefyd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â’r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fenter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hyder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weithio’n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annibynnol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pan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fo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angen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5222F67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hyblyg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gael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i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weithio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mhob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math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amgylcheddau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sector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statudol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a’r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sector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gwirfoddol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6B815FC7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Cred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y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posibilrwydd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o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newid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ymddygiad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troseddwyr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5D443B92" w14:textId="77777777" w:rsidR="001C71FD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Bod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rhagweithiol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hunangymhellol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2835B28F" w14:textId="1DAE27A2" w:rsidR="00F935A0" w:rsidRPr="001C71FD" w:rsidRDefault="001C71FD" w:rsidP="001C71FD">
      <w:pPr>
        <w:rPr>
          <w:rFonts w:ascii="Aptos" w:hAnsi="Aptos"/>
          <w:color w:val="000000" w:themeColor="text1"/>
          <w:sz w:val="20"/>
          <w:szCs w:val="20"/>
          <w:lang w:val="en-GB"/>
        </w:rPr>
      </w:pPr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•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Meddu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ar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sgiliau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myfyrio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ac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ymwybyddiaeth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o’ch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ymarfer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eich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hun</w:t>
      </w:r>
      <w:proofErr w:type="spellEnd"/>
      <w:r w:rsidRPr="001C71FD">
        <w:rPr>
          <w:rFonts w:ascii="Aptos" w:hAnsi="Aptos"/>
          <w:color w:val="000000" w:themeColor="text1"/>
          <w:sz w:val="20"/>
          <w:szCs w:val="20"/>
          <w:lang w:val="en-GB"/>
        </w:rPr>
        <w:t>.</w:t>
      </w:r>
    </w:p>
    <w:p w14:paraId="2F0FDCA9" w14:textId="77777777" w:rsidR="00F935A0" w:rsidRPr="00423EC7" w:rsidRDefault="00F935A0" w:rsidP="00F935A0">
      <w:pPr>
        <w:rPr>
          <w:rFonts w:ascii="Aptos" w:hAnsi="Aptos"/>
          <w:color w:val="000000" w:themeColor="text1"/>
          <w:sz w:val="20"/>
          <w:szCs w:val="20"/>
          <w:lang w:val="en-GB"/>
        </w:rPr>
      </w:pPr>
    </w:p>
    <w:bookmarkEnd w:id="0"/>
    <w:p w14:paraId="0E910887" w14:textId="77777777" w:rsidR="00F935A0" w:rsidRPr="00423EC7" w:rsidRDefault="00F935A0" w:rsidP="00F935A0">
      <w:pPr>
        <w:rPr>
          <w:lang w:val="en-GB"/>
        </w:rPr>
      </w:pPr>
    </w:p>
    <w:p w14:paraId="17364E44" w14:textId="77777777" w:rsidR="0034721E" w:rsidRDefault="0034721E"/>
    <w:sectPr w:rsidR="0034721E" w:rsidSect="00F935A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196A" w14:textId="77777777" w:rsidR="00F935A0" w:rsidRDefault="00F93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9217A" w14:textId="77777777" w:rsidR="00F935A0" w:rsidRDefault="00F935A0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9745" w14:textId="77777777" w:rsidR="00F935A0" w:rsidRDefault="00F935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E14E" w14:textId="77777777" w:rsidR="00F935A0" w:rsidRDefault="00F93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BC8E" w14:textId="77777777" w:rsidR="00F935A0" w:rsidRDefault="00F93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28F6" w14:textId="77777777" w:rsidR="00F935A0" w:rsidRDefault="00F93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0"/>
    <w:rsid w:val="001C71FD"/>
    <w:rsid w:val="0034721E"/>
    <w:rsid w:val="00666AB3"/>
    <w:rsid w:val="00895886"/>
    <w:rsid w:val="00A24A30"/>
    <w:rsid w:val="00CD0925"/>
    <w:rsid w:val="00D2222B"/>
    <w:rsid w:val="00F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BA131"/>
  <w15:chartTrackingRefBased/>
  <w15:docId w15:val="{81583DF6-EEC8-3046-842F-E517169E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5A0"/>
    <w:pPr>
      <w:spacing w:after="120" w:line="288" w:lineRule="auto"/>
    </w:pPr>
    <w:rPr>
      <w:color w:val="595959" w:themeColor="text1" w:themeTint="A6"/>
      <w:kern w:val="0"/>
      <w:sz w:val="28"/>
      <w:szCs w:val="28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5A0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5A0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5A0"/>
    <w:pPr>
      <w:numPr>
        <w:ilvl w:val="1"/>
      </w:numPr>
    </w:pPr>
    <w:rPr>
      <w:rFonts w:eastAsiaTheme="majorEastAsia" w:cstheme="majorBid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5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F935A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5A0"/>
    <w:rPr>
      <w:color w:val="595959" w:themeColor="text1" w:themeTint="A6"/>
      <w:kern w:val="0"/>
      <w:sz w:val="28"/>
      <w:szCs w:val="28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F935A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5A0"/>
    <w:rPr>
      <w:color w:val="595959" w:themeColor="text1" w:themeTint="A6"/>
      <w:kern w:val="0"/>
      <w:sz w:val="28"/>
      <w:szCs w:val="28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Pedicini</dc:creator>
  <cp:keywords/>
  <dc:description/>
  <cp:lastModifiedBy>Megan Pedicini</cp:lastModifiedBy>
  <cp:revision>1</cp:revision>
  <dcterms:created xsi:type="dcterms:W3CDTF">2025-10-27T15:16:00Z</dcterms:created>
  <dcterms:modified xsi:type="dcterms:W3CDTF">2025-10-27T15:35:00Z</dcterms:modified>
</cp:coreProperties>
</file>